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00" w:rsidRPr="00CB0263" w:rsidRDefault="008F1100" w:rsidP="00CB0263">
      <w:pPr>
        <w:pStyle w:val="Balk1"/>
        <w:jc w:val="center"/>
        <w:rPr>
          <w:color w:val="FF0000"/>
        </w:rPr>
      </w:pPr>
      <w:bookmarkStart w:id="0" w:name="_GoBack"/>
      <w:r w:rsidRPr="00CB0263">
        <w:rPr>
          <w:color w:val="FF0000"/>
        </w:rPr>
        <w:t>Verimlilik Proje Ödülleri</w:t>
      </w:r>
    </w:p>
    <w:tbl>
      <w:tblPr>
        <w:tblW w:w="10605" w:type="dxa"/>
        <w:tblCellSpacing w:w="7" w:type="dxa"/>
        <w:tblInd w:w="-851" w:type="dxa"/>
        <w:tblCellMar>
          <w:top w:w="15" w:type="dxa"/>
          <w:left w:w="15" w:type="dxa"/>
          <w:bottom w:w="15" w:type="dxa"/>
          <w:right w:w="15" w:type="dxa"/>
        </w:tblCellMar>
        <w:tblLook w:val="04A0" w:firstRow="1" w:lastRow="0" w:firstColumn="1" w:lastColumn="0" w:noHBand="0" w:noVBand="1"/>
      </w:tblPr>
      <w:tblGrid>
        <w:gridCol w:w="10605"/>
      </w:tblGrid>
      <w:tr w:rsidR="008F1100" w:rsidTr="008F1100">
        <w:trPr>
          <w:trHeight w:val="276"/>
          <w:tblCellSpacing w:w="7" w:type="dxa"/>
        </w:trPr>
        <w:tc>
          <w:tcPr>
            <w:tcW w:w="0" w:type="auto"/>
            <w:vMerge w:val="restart"/>
            <w:vAlign w:val="center"/>
            <w:hideMark/>
          </w:tcPr>
          <w:bookmarkEnd w:id="0"/>
          <w:p w:rsidR="008F1100" w:rsidRDefault="008F1100">
            <w:pPr>
              <w:pStyle w:val="NormalWeb"/>
              <w:jc w:val="center"/>
            </w:pPr>
            <w:r>
              <w:t> </w:t>
            </w:r>
            <w:r>
              <w:rPr>
                <w:noProof/>
              </w:rPr>
              <w:drawing>
                <wp:inline distT="0" distB="0" distL="0" distR="0">
                  <wp:extent cx="6219825" cy="1866900"/>
                  <wp:effectExtent l="0" t="0" r="9525" b="0"/>
                  <wp:docPr id="10" name="Resim 10" descr="http://vgm.sanayi.gov.tr/userfiles/file/Verimlilik%20Genel%20M%C3%BCd%C3%BCrl%C3%BC%C4%9F%C3%BC/v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gm.sanayi.gov.tr/userfiles/file/Verimlilik%20Genel%20M%C3%BCd%C3%BCrl%C3%BC%C4%9F%C3%BC/v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1866900"/>
                          </a:xfrm>
                          <a:prstGeom prst="rect">
                            <a:avLst/>
                          </a:prstGeom>
                          <a:noFill/>
                          <a:ln>
                            <a:noFill/>
                          </a:ln>
                        </pic:spPr>
                      </pic:pic>
                    </a:graphicData>
                  </a:graphic>
                </wp:inline>
              </w:drawing>
            </w:r>
            <w:r>
              <w:t> </w:t>
            </w:r>
          </w:p>
          <w:p w:rsidR="008F1100" w:rsidRPr="00733573" w:rsidRDefault="008F1100" w:rsidP="00733573">
            <w:pPr>
              <w:pStyle w:val="NormalWeb"/>
              <w:rPr>
                <w:rFonts w:ascii="Arial" w:hAnsi="Arial" w:cs="Arial"/>
              </w:rPr>
            </w:pPr>
            <w:r w:rsidRPr="00733573">
              <w:rPr>
                <w:rFonts w:ascii="Arial" w:hAnsi="Arial" w:cs="Arial"/>
              </w:rPr>
              <w:t>Bilim, Sanayi ve Teknoloji Bakanlığı olarak ülkemizin rekabet gücünün artırılmasına yönelik verimlilik ile ilgili çalışmalarımız kapsamında, her ölçekteki işletmelerimizin verimlilik artışlarını desteklemek ve bu alanda gerçekleştirilen projeleri teşvik etmek amacıyla her yıl “Verimlilik Proje Ödülleri” vermekteyiz.</w:t>
            </w:r>
          </w:p>
          <w:p w:rsidR="008F1100" w:rsidRPr="00733573" w:rsidRDefault="008F1100" w:rsidP="00733573">
            <w:pPr>
              <w:pStyle w:val="NormalWeb"/>
              <w:rPr>
                <w:rFonts w:ascii="Arial" w:hAnsi="Arial" w:cs="Arial"/>
              </w:rPr>
            </w:pPr>
            <w:r w:rsidRPr="00733573">
              <w:rPr>
                <w:rFonts w:ascii="Arial" w:hAnsi="Arial" w:cs="Arial"/>
              </w:rPr>
              <w:t xml:space="preserve">İşletmelerimizde verimli çalışmanın önem ve gereğine dikkat çekmenin yanı sıra, verimlilik bilincinin ve iyi uygulama örneklerinin yaygınlaşmasına katkıda bulunacak bu ödüller ile işletmelerimiz arasında bilgi ve tecrübe paylaşımını artırmayı, verimlilik arttırıcı projeleri kamuoyuna duyurmayı ve uygulanmış projelerin sağladığı faydaları daha iyi tanıtmayı hedeflemekteyiz. </w:t>
            </w:r>
          </w:p>
          <w:p w:rsidR="008F1100" w:rsidRPr="00733573" w:rsidRDefault="008F1100" w:rsidP="00733573">
            <w:pPr>
              <w:pStyle w:val="NormalWeb"/>
              <w:rPr>
                <w:rFonts w:ascii="Arial" w:hAnsi="Arial" w:cs="Arial"/>
              </w:rPr>
            </w:pPr>
            <w:r w:rsidRPr="00733573">
              <w:rPr>
                <w:rFonts w:ascii="Arial" w:hAnsi="Arial" w:cs="Arial"/>
              </w:rPr>
              <w:t>Ülkemizin verimlilik artışı potansiyelinin hayata geçirilmesine katkıda bulunmak için bu alanda çalışmaları olan tüm işletmelerimizi Verimlilik Proje Ödüllerine başvurmaya ve verimlilik artırıcı projelerini bizlerle paylaşmaya davet ediyoruz.  </w:t>
            </w:r>
          </w:p>
          <w:p w:rsidR="008F1100" w:rsidRDefault="008F1100">
            <w:pPr>
              <w:pStyle w:val="NormalWeb"/>
            </w:pPr>
            <w:r>
              <w:rPr>
                <w:rStyle w:val="Gl"/>
              </w:rPr>
              <w:t>       Faruk ÖZLÜ</w:t>
            </w:r>
            <w:r>
              <w:rPr>
                <w:sz w:val="27"/>
                <w:szCs w:val="27"/>
              </w:rPr>
              <w:br/>
            </w:r>
            <w:r>
              <w:rPr>
                <w:rStyle w:val="Gl"/>
              </w:rPr>
              <w:t>Bilim, Sanayi ve Teknoloji Bakanı</w:t>
            </w:r>
            <w:r>
              <w:br/>
              <w:t> </w:t>
            </w:r>
          </w:p>
        </w:tc>
      </w:tr>
      <w:tr w:rsidR="008F1100" w:rsidTr="008F1100">
        <w:trPr>
          <w:trHeight w:val="476"/>
          <w:tblCellSpacing w:w="7" w:type="dxa"/>
        </w:trPr>
        <w:tc>
          <w:tcPr>
            <w:tcW w:w="0" w:type="auto"/>
            <w:vMerge/>
            <w:vAlign w:val="center"/>
            <w:hideMark/>
          </w:tcPr>
          <w:p w:rsidR="008F1100" w:rsidRDefault="008F1100">
            <w:pPr>
              <w:rPr>
                <w:sz w:val="24"/>
                <w:szCs w:val="24"/>
              </w:rPr>
            </w:pPr>
          </w:p>
        </w:tc>
      </w:tr>
    </w:tbl>
    <w:p w:rsidR="008F1100" w:rsidRDefault="008F1100" w:rsidP="008F1100">
      <w:pPr>
        <w:pStyle w:val="NormalWeb"/>
        <w:jc w:val="both"/>
      </w:pPr>
      <w:r>
        <w:br/>
      </w:r>
      <w:r>
        <w:rPr>
          <w:rStyle w:val="Gl"/>
          <w:rFonts w:ascii="Arial" w:hAnsi="Arial" w:cs="Arial"/>
          <w:sz w:val="27"/>
          <w:szCs w:val="27"/>
        </w:rPr>
        <w:t>Ödüle Başvurabilecek Projeler</w:t>
      </w:r>
    </w:p>
    <w:p w:rsidR="008F1100" w:rsidRPr="00733573" w:rsidRDefault="008F1100" w:rsidP="008F1100">
      <w:pPr>
        <w:pStyle w:val="NormalWeb"/>
        <w:rPr>
          <w:rFonts w:ascii="Arial" w:hAnsi="Arial" w:cs="Arial"/>
        </w:rPr>
      </w:pPr>
      <w:r w:rsidRPr="00733573">
        <w:rPr>
          <w:rFonts w:ascii="Arial" w:hAnsi="Arial" w:cs="Arial"/>
        </w:rPr>
        <w:t>- İşletmenin sunduğu ürün veya hizmetlerin kalitesini iyileştirmeye yönelik projeler</w:t>
      </w:r>
      <w:r w:rsidRPr="00733573">
        <w:rPr>
          <w:rFonts w:ascii="Arial" w:hAnsi="Arial" w:cs="Arial"/>
        </w:rPr>
        <w:br/>
        <w:t>- İş süreçlerinin performanslarını arttırmaya yönelik projeler</w:t>
      </w:r>
      <w:r w:rsidRPr="00733573">
        <w:rPr>
          <w:rFonts w:ascii="Arial" w:hAnsi="Arial" w:cs="Arial"/>
        </w:rPr>
        <w:br/>
        <w:t>- Hammadde, malzeme, enerji, sermaye ve insan kaynaklarının verimliliğini arttırmaya yönelik projeler</w:t>
      </w:r>
      <w:r w:rsidRPr="00733573">
        <w:rPr>
          <w:rFonts w:ascii="Arial" w:hAnsi="Arial" w:cs="Arial"/>
        </w:rPr>
        <w:br/>
        <w:t>- İşletmenin karlılığını arttırmaya veya maliyetlerini azaltmaya yönelik projeler</w:t>
      </w:r>
      <w:r w:rsidRPr="00733573">
        <w:rPr>
          <w:rFonts w:ascii="Arial" w:hAnsi="Arial" w:cs="Arial"/>
        </w:rPr>
        <w:br/>
        <w:t>- Çalışma yaşamının kalitesini iyileştirmeye yönelik projeler</w:t>
      </w:r>
    </w:p>
    <w:p w:rsidR="008F1100" w:rsidRPr="00733573" w:rsidRDefault="008F1100" w:rsidP="008F1100">
      <w:pPr>
        <w:pStyle w:val="NormalWeb"/>
        <w:rPr>
          <w:rFonts w:ascii="Arial" w:hAnsi="Arial" w:cs="Arial"/>
        </w:rPr>
      </w:pPr>
      <w:r>
        <w:br/>
      </w:r>
      <w:r w:rsidRPr="00733573">
        <w:rPr>
          <w:rStyle w:val="Gl"/>
          <w:rFonts w:ascii="Arial" w:hAnsi="Arial" w:cs="Arial"/>
          <w:bCs w:val="0"/>
          <w:sz w:val="27"/>
          <w:szCs w:val="27"/>
        </w:rPr>
        <w:t>K</w:t>
      </w:r>
      <w:r w:rsidRPr="00733573">
        <w:rPr>
          <w:rStyle w:val="Gl"/>
          <w:sz w:val="27"/>
          <w:szCs w:val="27"/>
        </w:rPr>
        <w:t>imler Başvurabilir?</w:t>
      </w:r>
    </w:p>
    <w:p w:rsidR="008F1100" w:rsidRPr="00733573" w:rsidRDefault="008F1100" w:rsidP="008F1100">
      <w:pPr>
        <w:numPr>
          <w:ilvl w:val="0"/>
          <w:numId w:val="1"/>
        </w:numPr>
        <w:spacing w:before="100" w:beforeAutospacing="1" w:after="100" w:afterAutospacing="1" w:line="240" w:lineRule="auto"/>
        <w:rPr>
          <w:rFonts w:ascii="Arial" w:eastAsia="Times New Roman" w:hAnsi="Arial" w:cs="Arial"/>
          <w:sz w:val="24"/>
          <w:szCs w:val="24"/>
          <w:lang w:eastAsia="tr-TR"/>
        </w:rPr>
      </w:pPr>
      <w:r w:rsidRPr="00733573">
        <w:rPr>
          <w:rFonts w:ascii="Arial" w:eastAsia="Times New Roman" w:hAnsi="Arial" w:cs="Arial"/>
          <w:sz w:val="24"/>
          <w:szCs w:val="24"/>
          <w:lang w:eastAsia="tr-TR"/>
        </w:rPr>
        <w:t xml:space="preserve">-Mikro İşletmeler </w:t>
      </w:r>
    </w:p>
    <w:p w:rsidR="008F1100" w:rsidRPr="00733573" w:rsidRDefault="008F1100" w:rsidP="008F1100">
      <w:pPr>
        <w:numPr>
          <w:ilvl w:val="0"/>
          <w:numId w:val="1"/>
        </w:numPr>
        <w:spacing w:before="100" w:beforeAutospacing="1" w:after="100" w:afterAutospacing="1" w:line="240" w:lineRule="auto"/>
        <w:rPr>
          <w:rFonts w:ascii="Arial" w:eastAsia="Times New Roman" w:hAnsi="Arial" w:cs="Arial"/>
          <w:sz w:val="24"/>
          <w:szCs w:val="24"/>
          <w:lang w:eastAsia="tr-TR"/>
        </w:rPr>
      </w:pPr>
      <w:r w:rsidRPr="00733573">
        <w:rPr>
          <w:rFonts w:ascii="Arial" w:eastAsia="Times New Roman" w:hAnsi="Arial" w:cs="Arial"/>
          <w:sz w:val="24"/>
          <w:szCs w:val="24"/>
          <w:lang w:eastAsia="tr-TR"/>
        </w:rPr>
        <w:t>-Küçük İşletmeler</w:t>
      </w:r>
    </w:p>
    <w:p w:rsidR="008F1100" w:rsidRPr="00733573" w:rsidRDefault="008F1100" w:rsidP="008F1100">
      <w:pPr>
        <w:numPr>
          <w:ilvl w:val="0"/>
          <w:numId w:val="1"/>
        </w:numPr>
        <w:spacing w:before="100" w:beforeAutospacing="1" w:after="100" w:afterAutospacing="1" w:line="240" w:lineRule="auto"/>
        <w:rPr>
          <w:rFonts w:ascii="Arial" w:eastAsia="Times New Roman" w:hAnsi="Arial" w:cs="Arial"/>
          <w:sz w:val="24"/>
          <w:szCs w:val="24"/>
          <w:lang w:eastAsia="tr-TR"/>
        </w:rPr>
      </w:pPr>
      <w:r w:rsidRPr="00733573">
        <w:rPr>
          <w:rFonts w:ascii="Arial" w:eastAsia="Times New Roman" w:hAnsi="Arial" w:cs="Arial"/>
          <w:sz w:val="24"/>
          <w:szCs w:val="24"/>
          <w:lang w:eastAsia="tr-TR"/>
        </w:rPr>
        <w:t>-Orta Büyüklükteki İşletmeler</w:t>
      </w:r>
    </w:p>
    <w:p w:rsidR="008F1100" w:rsidRPr="00733573" w:rsidRDefault="008F1100" w:rsidP="008F1100">
      <w:pPr>
        <w:numPr>
          <w:ilvl w:val="0"/>
          <w:numId w:val="1"/>
        </w:numPr>
        <w:spacing w:before="100" w:beforeAutospacing="1" w:after="100" w:afterAutospacing="1" w:line="240" w:lineRule="auto"/>
        <w:rPr>
          <w:rFonts w:ascii="Arial" w:eastAsia="Times New Roman" w:hAnsi="Arial" w:cs="Arial"/>
          <w:sz w:val="24"/>
          <w:szCs w:val="24"/>
          <w:lang w:eastAsia="tr-TR"/>
        </w:rPr>
      </w:pPr>
      <w:r w:rsidRPr="00733573">
        <w:rPr>
          <w:rFonts w:ascii="Arial" w:eastAsia="Times New Roman" w:hAnsi="Arial" w:cs="Arial"/>
          <w:sz w:val="24"/>
          <w:szCs w:val="24"/>
          <w:lang w:eastAsia="tr-TR"/>
        </w:rPr>
        <w:t>-Büyük İşletmeler</w:t>
      </w:r>
    </w:p>
    <w:p w:rsidR="008F1100" w:rsidRPr="00733573" w:rsidRDefault="008F1100" w:rsidP="008F1100">
      <w:pPr>
        <w:numPr>
          <w:ilvl w:val="0"/>
          <w:numId w:val="1"/>
        </w:numPr>
        <w:spacing w:before="100" w:beforeAutospacing="1" w:after="100" w:afterAutospacing="1" w:line="240" w:lineRule="auto"/>
        <w:rPr>
          <w:rFonts w:ascii="Arial" w:eastAsia="Times New Roman" w:hAnsi="Arial" w:cs="Arial"/>
          <w:sz w:val="24"/>
          <w:szCs w:val="24"/>
          <w:lang w:eastAsia="tr-TR"/>
        </w:rPr>
      </w:pPr>
      <w:r w:rsidRPr="00733573">
        <w:rPr>
          <w:rFonts w:ascii="Arial" w:eastAsia="Times New Roman" w:hAnsi="Arial" w:cs="Arial"/>
          <w:sz w:val="24"/>
          <w:szCs w:val="24"/>
          <w:lang w:eastAsia="tr-TR"/>
        </w:rPr>
        <w:t>-Kamu Kurumları</w:t>
      </w:r>
    </w:p>
    <w:p w:rsidR="008F1100" w:rsidRDefault="008F1100" w:rsidP="008F1100">
      <w:pPr>
        <w:pStyle w:val="NormalWeb"/>
      </w:pPr>
      <w:r>
        <w:t> </w:t>
      </w:r>
    </w:p>
    <w:p w:rsidR="008F1100" w:rsidRPr="00733573" w:rsidRDefault="008F1100" w:rsidP="008F1100">
      <w:pPr>
        <w:pStyle w:val="NormalWeb"/>
        <w:rPr>
          <w:rStyle w:val="Gl"/>
          <w:sz w:val="27"/>
          <w:szCs w:val="27"/>
        </w:rPr>
      </w:pPr>
      <w:r w:rsidRPr="00733573">
        <w:rPr>
          <w:rStyle w:val="Gl"/>
          <w:rFonts w:ascii="Arial" w:hAnsi="Arial" w:cs="Arial"/>
          <w:bCs w:val="0"/>
          <w:sz w:val="27"/>
          <w:szCs w:val="27"/>
        </w:rPr>
        <w:lastRenderedPageBreak/>
        <w:t>Ödül Başvuru Koşulları</w:t>
      </w:r>
    </w:p>
    <w:p w:rsidR="008F1100" w:rsidRPr="00733573" w:rsidRDefault="008F1100" w:rsidP="00733573">
      <w:pPr>
        <w:pStyle w:val="NormalWeb"/>
        <w:rPr>
          <w:rFonts w:ascii="Arial" w:hAnsi="Arial" w:cs="Arial"/>
        </w:rPr>
      </w:pPr>
      <w:r w:rsidRPr="00733573">
        <w:rPr>
          <w:rFonts w:ascii="Arial" w:hAnsi="Arial" w:cs="Arial"/>
        </w:rPr>
        <w:t>-Başvurular proje yürütücüsü işletmeler tarafından yapılır.</w:t>
      </w:r>
    </w:p>
    <w:p w:rsidR="008F1100" w:rsidRPr="00733573" w:rsidRDefault="008F1100" w:rsidP="00733573">
      <w:pPr>
        <w:pStyle w:val="NormalWeb"/>
        <w:rPr>
          <w:rFonts w:ascii="Arial" w:hAnsi="Arial" w:cs="Arial"/>
        </w:rPr>
      </w:pPr>
      <w:r w:rsidRPr="00733573">
        <w:rPr>
          <w:rFonts w:ascii="Arial" w:hAnsi="Arial" w:cs="Arial"/>
        </w:rPr>
        <w:t>-Projenin tamamlandığı tarih ile son başvuru tarihi arasındaki süre bir yılı geçemez.</w:t>
      </w:r>
    </w:p>
    <w:p w:rsidR="008F1100" w:rsidRPr="00733573" w:rsidRDefault="008F1100" w:rsidP="00733573">
      <w:pPr>
        <w:pStyle w:val="NormalWeb"/>
        <w:rPr>
          <w:rFonts w:ascii="Arial" w:hAnsi="Arial" w:cs="Arial"/>
        </w:rPr>
      </w:pPr>
      <w:r w:rsidRPr="00733573">
        <w:rPr>
          <w:rFonts w:ascii="Arial" w:hAnsi="Arial" w:cs="Arial"/>
        </w:rPr>
        <w:t>-Daha önce herhangi bir kuruluştan ödül alan projeler için başvuru yapılamaz.</w:t>
      </w:r>
    </w:p>
    <w:p w:rsidR="008F1100" w:rsidRPr="00733573" w:rsidRDefault="008F1100" w:rsidP="00733573">
      <w:pPr>
        <w:pStyle w:val="NormalWeb"/>
        <w:rPr>
          <w:rFonts w:ascii="Arial" w:hAnsi="Arial" w:cs="Arial"/>
        </w:rPr>
      </w:pPr>
      <w:r w:rsidRPr="00733573">
        <w:rPr>
          <w:rFonts w:ascii="Arial" w:hAnsi="Arial" w:cs="Arial"/>
        </w:rPr>
        <w:t>-Bir işletme bir yıl içinde en fazla üç proje ile başvurabilir.</w:t>
      </w:r>
    </w:p>
    <w:p w:rsidR="008F1100" w:rsidRPr="00733573" w:rsidRDefault="008F1100" w:rsidP="00733573">
      <w:pPr>
        <w:pStyle w:val="NormalWeb"/>
        <w:rPr>
          <w:rFonts w:ascii="Arial" w:hAnsi="Arial" w:cs="Arial"/>
        </w:rPr>
      </w:pPr>
      <w:r w:rsidRPr="00733573">
        <w:rPr>
          <w:rFonts w:ascii="Arial" w:hAnsi="Arial" w:cs="Arial"/>
        </w:rPr>
        <w:t>-Başvurular, Bilim, Sanayi ve Teknoloji Bakanlığının internet sitesinde yayınlanan İşletme Başvuru Formu doldurularak elektronik ortamda gönderilmesi suretiyle yapılır.</w:t>
      </w:r>
    </w:p>
    <w:p w:rsidR="008F1100" w:rsidRPr="00733573" w:rsidRDefault="008F1100" w:rsidP="00733573">
      <w:pPr>
        <w:pStyle w:val="NormalWeb"/>
        <w:rPr>
          <w:rFonts w:ascii="Arial" w:hAnsi="Arial" w:cs="Arial"/>
        </w:rPr>
      </w:pPr>
      <w:r w:rsidRPr="00733573">
        <w:rPr>
          <w:rFonts w:ascii="Arial" w:hAnsi="Arial" w:cs="Arial"/>
        </w:rPr>
        <w:t>-Başvuru sırasında herhangi bir ücret alınmaz.</w:t>
      </w:r>
    </w:p>
    <w:p w:rsidR="008F1100" w:rsidRDefault="008F1100" w:rsidP="008F1100">
      <w:pPr>
        <w:pStyle w:val="NormalWeb"/>
      </w:pPr>
      <w:r>
        <w:rPr>
          <w:rStyle w:val="Gl"/>
          <w:rFonts w:ascii="Arial" w:hAnsi="Arial" w:cs="Arial"/>
          <w:sz w:val="27"/>
          <w:szCs w:val="27"/>
        </w:rPr>
        <w:t>Bağımsız Değerlendirici Başvuruları </w:t>
      </w:r>
    </w:p>
    <w:p w:rsidR="008F1100" w:rsidRPr="00733573" w:rsidRDefault="008F1100" w:rsidP="008F1100">
      <w:pPr>
        <w:pStyle w:val="NormalWeb"/>
        <w:rPr>
          <w:rFonts w:ascii="Arial" w:hAnsi="Arial" w:cs="Arial"/>
        </w:rPr>
      </w:pPr>
      <w:r w:rsidRPr="00733573">
        <w:rPr>
          <w:rFonts w:ascii="Arial" w:hAnsi="Arial" w:cs="Arial"/>
        </w:rPr>
        <w:t>Gönüllü Bağımsız Değerlendirici olarak süreçte yer almak için; kamu kurum ve kuruluşlarının çalışanları, özel sektör çalışanları, akademisyenler ve sivil toplum örgütü temsilcileri başvuruda bulunabilirler.</w:t>
      </w:r>
    </w:p>
    <w:p w:rsidR="008F1100" w:rsidRDefault="008F1100" w:rsidP="008F1100">
      <w:pPr>
        <w:pStyle w:val="NormalWeb"/>
      </w:pPr>
      <w:r>
        <w:rPr>
          <w:rStyle w:val="Gl"/>
          <w:rFonts w:ascii="Arial" w:hAnsi="Arial" w:cs="Arial"/>
          <w:sz w:val="27"/>
          <w:szCs w:val="27"/>
        </w:rPr>
        <w:t>Ödül Süreci ve Takvimi</w:t>
      </w:r>
    </w:p>
    <w:p w:rsidR="008F1100" w:rsidRDefault="008F1100" w:rsidP="008F1100">
      <w:pPr>
        <w:pStyle w:val="NormalWeb"/>
        <w:jc w:val="both"/>
      </w:pPr>
      <w:r>
        <w:rPr>
          <w:rFonts w:ascii="Arial" w:hAnsi="Arial" w:cs="Arial"/>
        </w:rPr>
        <w:t>Başvurusu kabul edilen projeler "</w:t>
      </w:r>
      <w:hyperlink r:id="rId6" w:history="1">
        <w:r>
          <w:rPr>
            <w:rStyle w:val="Kpr"/>
            <w:rFonts w:ascii="Arial" w:hAnsi="Arial" w:cs="Arial"/>
          </w:rPr>
          <w:t xml:space="preserve">Verimlilik Proje Ödülleri </w:t>
        </w:r>
        <w:proofErr w:type="spellStart"/>
        <w:r>
          <w:rPr>
            <w:rStyle w:val="Kpr"/>
            <w:rFonts w:ascii="Arial" w:hAnsi="Arial" w:cs="Arial"/>
          </w:rPr>
          <w:t>Usül</w:t>
        </w:r>
        <w:proofErr w:type="spellEnd"/>
        <w:r>
          <w:rPr>
            <w:rStyle w:val="Kpr"/>
            <w:rFonts w:ascii="Arial" w:hAnsi="Arial" w:cs="Arial"/>
          </w:rPr>
          <w:t xml:space="preserve"> ve Esasları Hakkında Yönetmelik</w:t>
        </w:r>
      </w:hyperlink>
      <w:r>
        <w:rPr>
          <w:rFonts w:ascii="Arial" w:hAnsi="Arial" w:cs="Arial"/>
        </w:rPr>
        <w:t>" uyarınca ön değerlendirme, yerinde inceleme ve nihai değerlendirme olmak üzere üç aşamada değerlendirilecektir. Değerlendirme süreci sonunda ödül almaya hak kazanan projeler Verimlilik Haftası içerisinde düzenlenecek bir törende açıklanacaktır.</w:t>
      </w:r>
    </w:p>
    <w:p w:rsidR="008F1100" w:rsidRDefault="008F1100" w:rsidP="008F1100">
      <w:pPr>
        <w:pStyle w:val="NormalWeb"/>
      </w:pPr>
      <w:r>
        <w:rPr>
          <w:b/>
          <w:bCs/>
          <w:noProof/>
        </w:rPr>
        <w:drawing>
          <wp:inline distT="0" distB="0" distL="0" distR="0">
            <wp:extent cx="6115050" cy="2495550"/>
            <wp:effectExtent l="0" t="0" r="0" b="0"/>
            <wp:docPr id="9" name="Resim 9" descr="http://vgm.sanayi.gov.tr/userfiles/image/Verimlilik%20Genel%20M%C3%BCd%C3%BCrl%C3%BCg%C3%BC/images/projetakv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gm.sanayi.gov.tr/userfiles/image/Verimlilik%20Genel%20M%C3%BCd%C3%BCrl%C3%BCg%C3%BC/images/projetakvi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495550"/>
                    </a:xfrm>
                    <a:prstGeom prst="rect">
                      <a:avLst/>
                    </a:prstGeom>
                    <a:noFill/>
                    <a:ln>
                      <a:noFill/>
                    </a:ln>
                  </pic:spPr>
                </pic:pic>
              </a:graphicData>
            </a:graphic>
          </wp:inline>
        </w:drawing>
      </w:r>
    </w:p>
    <w:p w:rsidR="008F1100" w:rsidRDefault="008F1100" w:rsidP="008F1100">
      <w:pPr>
        <w:pStyle w:val="NormalWeb"/>
      </w:pPr>
      <w:r>
        <w:rPr>
          <w:rStyle w:val="Gl"/>
          <w:rFonts w:ascii="Arial" w:hAnsi="Arial" w:cs="Arial"/>
          <w:sz w:val="27"/>
          <w:szCs w:val="27"/>
        </w:rPr>
        <w:t>Ödüller</w:t>
      </w:r>
    </w:p>
    <w:p w:rsidR="008F1100" w:rsidRPr="00733573" w:rsidRDefault="008F1100" w:rsidP="00733573">
      <w:pPr>
        <w:pStyle w:val="NormalWeb"/>
        <w:rPr>
          <w:rFonts w:ascii="Arial" w:hAnsi="Arial" w:cs="Arial"/>
        </w:rPr>
      </w:pPr>
      <w:r w:rsidRPr="00733573">
        <w:rPr>
          <w:rFonts w:ascii="Arial" w:hAnsi="Arial" w:cs="Arial"/>
        </w:rPr>
        <w:t xml:space="preserve">Ödül almaya hak kazanan işletmelere “Verimlilik Proje Ödülü” </w:t>
      </w:r>
      <w:proofErr w:type="gramStart"/>
      <w:r w:rsidRPr="00733573">
        <w:rPr>
          <w:rFonts w:ascii="Arial" w:hAnsi="Arial" w:cs="Arial"/>
        </w:rPr>
        <w:t>plaketi</w:t>
      </w:r>
      <w:proofErr w:type="gramEnd"/>
      <w:r w:rsidRPr="00733573">
        <w:rPr>
          <w:rFonts w:ascii="Arial" w:hAnsi="Arial" w:cs="Arial"/>
        </w:rPr>
        <w:t xml:space="preserve"> takdim edilir. Ödül töreninde projelerin sunumu gerçekleştirilir ve bu projelere Bakanlığın yayın organlarında ve resmi internet sitesinde yer verilir ve tanıtımı yapılır.</w:t>
      </w:r>
    </w:p>
    <w:p w:rsidR="00104C7D" w:rsidRPr="008F1100" w:rsidRDefault="008F1100" w:rsidP="00733573">
      <w:pPr>
        <w:pStyle w:val="NormalWeb"/>
        <w:jc w:val="both"/>
      </w:pPr>
      <w:r>
        <w:t> </w:t>
      </w:r>
    </w:p>
    <w:sectPr w:rsidR="00104C7D" w:rsidRPr="008F1100" w:rsidSect="0073357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50858"/>
    <w:multiLevelType w:val="multilevel"/>
    <w:tmpl w:val="AC94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24031"/>
    <w:multiLevelType w:val="multilevel"/>
    <w:tmpl w:val="A90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00"/>
    <w:rsid w:val="00104C7D"/>
    <w:rsid w:val="006D7FBA"/>
    <w:rsid w:val="00733573"/>
    <w:rsid w:val="007D2D79"/>
    <w:rsid w:val="008F1100"/>
    <w:rsid w:val="00CB0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0E11A-0A30-47E8-AA8C-00EFF0D7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F1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8F1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110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F11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1100"/>
    <w:rPr>
      <w:b/>
      <w:bCs/>
    </w:rPr>
  </w:style>
  <w:style w:type="paragraph" w:styleId="BalonMetni">
    <w:name w:val="Balloon Text"/>
    <w:basedOn w:val="Normal"/>
    <w:link w:val="BalonMetniChar"/>
    <w:uiPriority w:val="99"/>
    <w:semiHidden/>
    <w:unhideWhenUsed/>
    <w:rsid w:val="008F11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100"/>
    <w:rPr>
      <w:rFonts w:ascii="Segoe UI" w:hAnsi="Segoe UI" w:cs="Segoe UI"/>
      <w:sz w:val="18"/>
      <w:szCs w:val="18"/>
    </w:rPr>
  </w:style>
  <w:style w:type="character" w:customStyle="1" w:styleId="Balk2Char">
    <w:name w:val="Başlık 2 Char"/>
    <w:basedOn w:val="VarsaylanParagrafYazTipi"/>
    <w:link w:val="Balk2"/>
    <w:uiPriority w:val="9"/>
    <w:semiHidden/>
    <w:rsid w:val="008F1100"/>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8F1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241">
      <w:bodyDiv w:val="1"/>
      <w:marLeft w:val="0"/>
      <w:marRight w:val="0"/>
      <w:marTop w:val="0"/>
      <w:marBottom w:val="0"/>
      <w:divBdr>
        <w:top w:val="none" w:sz="0" w:space="0" w:color="auto"/>
        <w:left w:val="none" w:sz="0" w:space="0" w:color="auto"/>
        <w:bottom w:val="none" w:sz="0" w:space="0" w:color="auto"/>
        <w:right w:val="none" w:sz="0" w:space="0" w:color="auto"/>
      </w:divBdr>
      <w:divsChild>
        <w:div w:id="1279799022">
          <w:marLeft w:val="0"/>
          <w:marRight w:val="0"/>
          <w:marTop w:val="0"/>
          <w:marBottom w:val="0"/>
          <w:divBdr>
            <w:top w:val="none" w:sz="0" w:space="0" w:color="auto"/>
            <w:left w:val="none" w:sz="0" w:space="0" w:color="auto"/>
            <w:bottom w:val="none" w:sz="0" w:space="0" w:color="auto"/>
            <w:right w:val="none" w:sz="0" w:space="0" w:color="auto"/>
          </w:divBdr>
        </w:div>
      </w:divsChild>
    </w:div>
    <w:div w:id="440807541">
      <w:bodyDiv w:val="1"/>
      <w:marLeft w:val="0"/>
      <w:marRight w:val="0"/>
      <w:marTop w:val="0"/>
      <w:marBottom w:val="0"/>
      <w:divBdr>
        <w:top w:val="none" w:sz="0" w:space="0" w:color="auto"/>
        <w:left w:val="none" w:sz="0" w:space="0" w:color="auto"/>
        <w:bottom w:val="none" w:sz="0" w:space="0" w:color="auto"/>
        <w:right w:val="none" w:sz="0" w:space="0" w:color="auto"/>
      </w:divBdr>
      <w:divsChild>
        <w:div w:id="2042438956">
          <w:marLeft w:val="0"/>
          <w:marRight w:val="0"/>
          <w:marTop w:val="0"/>
          <w:marBottom w:val="0"/>
          <w:divBdr>
            <w:top w:val="none" w:sz="0" w:space="0" w:color="auto"/>
            <w:left w:val="none" w:sz="0" w:space="0" w:color="auto"/>
            <w:bottom w:val="none" w:sz="0" w:space="0" w:color="auto"/>
            <w:right w:val="none" w:sz="0" w:space="0" w:color="auto"/>
          </w:divBdr>
        </w:div>
        <w:div w:id="379129999">
          <w:marLeft w:val="0"/>
          <w:marRight w:val="0"/>
          <w:marTop w:val="0"/>
          <w:marBottom w:val="0"/>
          <w:divBdr>
            <w:top w:val="none" w:sz="0" w:space="0" w:color="auto"/>
            <w:left w:val="none" w:sz="0" w:space="0" w:color="auto"/>
            <w:bottom w:val="none" w:sz="0" w:space="0" w:color="auto"/>
            <w:right w:val="none" w:sz="0" w:space="0" w:color="auto"/>
          </w:divBdr>
        </w:div>
        <w:div w:id="1229418888">
          <w:marLeft w:val="0"/>
          <w:marRight w:val="0"/>
          <w:marTop w:val="0"/>
          <w:marBottom w:val="0"/>
          <w:divBdr>
            <w:top w:val="none" w:sz="0" w:space="0" w:color="auto"/>
            <w:left w:val="none" w:sz="0" w:space="0" w:color="auto"/>
            <w:bottom w:val="none" w:sz="0" w:space="0" w:color="auto"/>
            <w:right w:val="none" w:sz="0" w:space="0" w:color="auto"/>
          </w:divBdr>
        </w:div>
      </w:divsChild>
    </w:div>
    <w:div w:id="1104766587">
      <w:bodyDiv w:val="1"/>
      <w:marLeft w:val="0"/>
      <w:marRight w:val="0"/>
      <w:marTop w:val="0"/>
      <w:marBottom w:val="0"/>
      <w:divBdr>
        <w:top w:val="none" w:sz="0" w:space="0" w:color="auto"/>
        <w:left w:val="none" w:sz="0" w:space="0" w:color="auto"/>
        <w:bottom w:val="none" w:sz="0" w:space="0" w:color="auto"/>
        <w:right w:val="none" w:sz="0" w:space="0" w:color="auto"/>
      </w:divBdr>
      <w:divsChild>
        <w:div w:id="717897996">
          <w:marLeft w:val="0"/>
          <w:marRight w:val="0"/>
          <w:marTop w:val="0"/>
          <w:marBottom w:val="0"/>
          <w:divBdr>
            <w:top w:val="none" w:sz="0" w:space="0" w:color="auto"/>
            <w:left w:val="none" w:sz="0" w:space="0" w:color="auto"/>
            <w:bottom w:val="none" w:sz="0" w:space="0" w:color="auto"/>
            <w:right w:val="none" w:sz="0" w:space="0" w:color="auto"/>
          </w:divBdr>
        </w:div>
        <w:div w:id="296572689">
          <w:marLeft w:val="0"/>
          <w:marRight w:val="0"/>
          <w:marTop w:val="0"/>
          <w:marBottom w:val="0"/>
          <w:divBdr>
            <w:top w:val="none" w:sz="0" w:space="0" w:color="auto"/>
            <w:left w:val="none" w:sz="0" w:space="0" w:color="auto"/>
            <w:bottom w:val="none" w:sz="0" w:space="0" w:color="auto"/>
            <w:right w:val="none" w:sz="0" w:space="0" w:color="auto"/>
          </w:divBdr>
        </w:div>
        <w:div w:id="93120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basbakanlik.gov.tr/Metin.Aspx?MevzuatKod=7.5.19415&amp;MevzuatIliski=0&amp;sourceXmlSearch=verimlili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2016-12-01T09:25:00Z</cp:lastPrinted>
  <dcterms:created xsi:type="dcterms:W3CDTF">2016-12-01T09:17:00Z</dcterms:created>
  <dcterms:modified xsi:type="dcterms:W3CDTF">2016-12-07T07:58:00Z</dcterms:modified>
</cp:coreProperties>
</file>